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A01" w:rsidRPr="00A42FCB" w:rsidRDefault="005C3A01" w:rsidP="009D6D84">
      <w:pPr>
        <w:spacing w:line="360" w:lineRule="auto"/>
        <w:ind w:left="-426" w:right="-426" w:firstLine="142"/>
        <w:rPr>
          <w:rFonts w:ascii="Times New Roman" w:hAnsi="Times New Roman" w:cs="Times New Roman"/>
          <w:sz w:val="10"/>
          <w:szCs w:val="24"/>
        </w:rPr>
      </w:pPr>
    </w:p>
    <w:p w:rsidR="00EB19EE" w:rsidRDefault="00A42FCB" w:rsidP="00A42FCB">
      <w:pPr>
        <w:spacing w:after="0" w:line="320" w:lineRule="exact"/>
        <w:ind w:left="-426" w:right="-426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B-1</w:t>
      </w:r>
      <w:r w:rsidR="005C3A01" w:rsidRPr="009D6D84">
        <w:rPr>
          <w:rFonts w:ascii="Times New Roman" w:hAnsi="Times New Roman" w:cs="Times New Roman"/>
          <w:b/>
          <w:sz w:val="24"/>
          <w:szCs w:val="24"/>
        </w:rPr>
        <w:t>.  CHARAKTERYSTYKA INFRASTRUKTURY PRZEZNACZONEJ DO RUCHU</w:t>
      </w:r>
      <w:r w:rsidR="005C3A01" w:rsidRPr="009D6D84">
        <w:rPr>
          <w:rFonts w:ascii="Times New Roman" w:hAnsi="Times New Roman" w:cs="Times New Roman"/>
          <w:b/>
          <w:sz w:val="24"/>
          <w:szCs w:val="24"/>
        </w:rPr>
        <w:br/>
        <w:t xml:space="preserve"> </w:t>
      </w:r>
      <w:r w:rsidR="009D6D8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C3A01" w:rsidRPr="009D6D84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C3A01" w:rsidRPr="009D6D84">
        <w:rPr>
          <w:rFonts w:ascii="Times New Roman" w:hAnsi="Times New Roman" w:cs="Times New Roman"/>
          <w:b/>
          <w:sz w:val="24"/>
          <w:szCs w:val="24"/>
        </w:rPr>
        <w:t>ROWEROWEGO.</w:t>
      </w:r>
    </w:p>
    <w:p w:rsidR="00A42FCB" w:rsidRPr="009D6D84" w:rsidRDefault="00A42FCB" w:rsidP="00A42FCB">
      <w:pPr>
        <w:spacing w:after="0" w:line="320" w:lineRule="exact"/>
        <w:ind w:left="-426" w:right="-426" w:firstLine="142"/>
        <w:rPr>
          <w:rFonts w:ascii="Times New Roman" w:hAnsi="Times New Roman" w:cs="Times New Roman"/>
          <w:b/>
          <w:sz w:val="24"/>
          <w:szCs w:val="24"/>
        </w:rPr>
      </w:pPr>
    </w:p>
    <w:p w:rsidR="00F32456" w:rsidRPr="009D6D84" w:rsidRDefault="00EB19EE" w:rsidP="00A42FCB">
      <w:pPr>
        <w:pStyle w:val="Bezodstpw"/>
        <w:spacing w:line="320" w:lineRule="exact"/>
        <w:ind w:left="-426" w:righ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>W opracowanej koncepcji wytyczaną trasę rowerową na danym odcinku nazywamy ścieżką rowerową. Dawniej nazwą ścieżka</w:t>
      </w:r>
      <w:r w:rsidR="00F32456" w:rsidRPr="009D6D84">
        <w:rPr>
          <w:rFonts w:ascii="Times New Roman" w:hAnsi="Times New Roman" w:cs="Times New Roman"/>
          <w:sz w:val="24"/>
          <w:szCs w:val="24"/>
        </w:rPr>
        <w:t xml:space="preserve"> rowerowa</w:t>
      </w:r>
      <w:r w:rsidRPr="009D6D84">
        <w:rPr>
          <w:rFonts w:ascii="Times New Roman" w:hAnsi="Times New Roman" w:cs="Times New Roman"/>
          <w:sz w:val="24"/>
          <w:szCs w:val="24"/>
        </w:rPr>
        <w:t xml:space="preserve"> określano drogę dla rowerów. My przyjęliśmy zasadę spójności nazewnictwa. Projektowany przebieg tylko miejscami będzie miał przebieg drogą dla rowerów (drogą rowerową), lub </w:t>
      </w:r>
      <w:r w:rsidR="001D6500" w:rsidRPr="009D6D84">
        <w:rPr>
          <w:rFonts w:ascii="Times New Roman" w:hAnsi="Times New Roman" w:cs="Times New Roman"/>
          <w:sz w:val="24"/>
          <w:szCs w:val="24"/>
        </w:rPr>
        <w:t xml:space="preserve">drogą dla pieszych i rowerów (ciągiem pieszo-rowerowym, lub rowerowo- pieszym). </w:t>
      </w:r>
    </w:p>
    <w:p w:rsidR="008A5283" w:rsidRPr="001A062A" w:rsidRDefault="008A5283" w:rsidP="00A42FCB">
      <w:pPr>
        <w:pStyle w:val="Bezodstpw"/>
        <w:spacing w:line="320" w:lineRule="exact"/>
        <w:ind w:left="-426" w:right="-426" w:firstLine="142"/>
        <w:jc w:val="both"/>
        <w:rPr>
          <w:rFonts w:ascii="Times New Roman" w:hAnsi="Times New Roman" w:cs="Times New Roman"/>
          <w:sz w:val="6"/>
          <w:szCs w:val="24"/>
        </w:rPr>
      </w:pPr>
    </w:p>
    <w:p w:rsidR="008A5283" w:rsidRPr="009D6D84" w:rsidRDefault="008A5283" w:rsidP="00A42FCB">
      <w:pPr>
        <w:pStyle w:val="Bezodstpw"/>
        <w:spacing w:line="320" w:lineRule="exact"/>
        <w:ind w:left="-426" w:right="-426" w:firstLine="568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>Zgodnie z wymaganiami koncepcji przez trasy rowerowe rozumie się w szczególności:</w:t>
      </w:r>
    </w:p>
    <w:p w:rsidR="008A5283" w:rsidRPr="009D6D84" w:rsidRDefault="008A5283" w:rsidP="00A42FCB">
      <w:pPr>
        <w:pStyle w:val="Bezodstpw"/>
        <w:numPr>
          <w:ilvl w:val="0"/>
          <w:numId w:val="2"/>
        </w:numPr>
        <w:spacing w:line="320" w:lineRule="exact"/>
        <w:ind w:left="-425" w:right="-425" w:firstLine="142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>Samodzielnie, wydzielone drogi przeznaczone do  ruchu rowerowego</w:t>
      </w:r>
      <w:r w:rsidR="005C3A01" w:rsidRPr="009D6D84">
        <w:rPr>
          <w:rFonts w:ascii="Times New Roman" w:hAnsi="Times New Roman" w:cs="Times New Roman"/>
          <w:sz w:val="24"/>
          <w:szCs w:val="24"/>
        </w:rPr>
        <w:t xml:space="preserve"> poza siecią drogową </w:t>
      </w:r>
      <w:r w:rsidR="009D6D8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5C3A01" w:rsidRPr="009D6D84">
        <w:rPr>
          <w:rFonts w:ascii="Times New Roman" w:hAnsi="Times New Roman" w:cs="Times New Roman"/>
          <w:sz w:val="24"/>
          <w:szCs w:val="24"/>
        </w:rPr>
        <w:t>i uliczną</w:t>
      </w:r>
      <w:r w:rsidR="009D6D84">
        <w:rPr>
          <w:rFonts w:ascii="Times New Roman" w:hAnsi="Times New Roman" w:cs="Times New Roman"/>
          <w:sz w:val="24"/>
          <w:szCs w:val="24"/>
        </w:rPr>
        <w:t xml:space="preserve"> </w:t>
      </w:r>
      <w:r w:rsidR="005C3A01" w:rsidRPr="009D6D84">
        <w:rPr>
          <w:rFonts w:ascii="Times New Roman" w:hAnsi="Times New Roman" w:cs="Times New Roman"/>
          <w:sz w:val="24"/>
          <w:szCs w:val="24"/>
        </w:rPr>
        <w:t>-</w:t>
      </w:r>
      <w:r w:rsidR="009D6D84">
        <w:rPr>
          <w:rFonts w:ascii="Times New Roman" w:hAnsi="Times New Roman" w:cs="Times New Roman"/>
          <w:sz w:val="24"/>
          <w:szCs w:val="24"/>
        </w:rPr>
        <w:t xml:space="preserve"> </w:t>
      </w:r>
      <w:r w:rsidRPr="009D6D84">
        <w:rPr>
          <w:rFonts w:ascii="Times New Roman" w:hAnsi="Times New Roman" w:cs="Times New Roman"/>
          <w:sz w:val="24"/>
          <w:szCs w:val="24"/>
        </w:rPr>
        <w:t>poza układem dróg publicznych (jedno- i dwukierunkowe)</w:t>
      </w:r>
      <w:r w:rsidR="005C3A01" w:rsidRPr="009D6D84">
        <w:rPr>
          <w:rFonts w:ascii="Times New Roman" w:hAnsi="Times New Roman" w:cs="Times New Roman"/>
          <w:sz w:val="24"/>
          <w:szCs w:val="24"/>
        </w:rPr>
        <w:t>.</w:t>
      </w:r>
    </w:p>
    <w:p w:rsidR="008A5283" w:rsidRPr="009D6D84" w:rsidRDefault="008A5283" w:rsidP="00A42FCB">
      <w:pPr>
        <w:pStyle w:val="Bezodstpw"/>
        <w:numPr>
          <w:ilvl w:val="0"/>
          <w:numId w:val="2"/>
        </w:numPr>
        <w:spacing w:line="320" w:lineRule="exact"/>
        <w:ind w:left="-425" w:right="-425" w:firstLine="142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>Drogi dla rowerów i pasy ruchu dla rowerów</w:t>
      </w:r>
      <w:r w:rsidR="00FD4313" w:rsidRPr="009D6D84">
        <w:rPr>
          <w:rFonts w:ascii="Times New Roman" w:hAnsi="Times New Roman" w:cs="Times New Roman"/>
          <w:sz w:val="24"/>
          <w:szCs w:val="24"/>
        </w:rPr>
        <w:t xml:space="preserve"> zlokalizowane w pasach drogowych dróg </w:t>
      </w:r>
      <w:r w:rsidR="009D6D84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 w:rsidR="00FD4313" w:rsidRPr="009D6D84">
        <w:rPr>
          <w:rFonts w:ascii="Times New Roman" w:hAnsi="Times New Roman" w:cs="Times New Roman"/>
          <w:sz w:val="24"/>
          <w:szCs w:val="24"/>
        </w:rPr>
        <w:t>publicznych</w:t>
      </w:r>
      <w:r w:rsidR="005C3A01" w:rsidRPr="009D6D84">
        <w:rPr>
          <w:rFonts w:ascii="Times New Roman" w:hAnsi="Times New Roman" w:cs="Times New Roman"/>
          <w:sz w:val="24"/>
          <w:szCs w:val="24"/>
        </w:rPr>
        <w:t>.</w:t>
      </w:r>
    </w:p>
    <w:p w:rsidR="00FD4313" w:rsidRPr="009D6D84" w:rsidRDefault="00FD4313" w:rsidP="00A42FCB">
      <w:pPr>
        <w:pStyle w:val="Bezodstpw"/>
        <w:numPr>
          <w:ilvl w:val="0"/>
          <w:numId w:val="2"/>
        </w:numPr>
        <w:spacing w:line="320" w:lineRule="exact"/>
        <w:ind w:left="-425" w:right="-425" w:firstLine="142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 xml:space="preserve">Drogi publiczne i niepubliczne (wewnętrzne, zakładowe, leśne, technologiczne) </w:t>
      </w:r>
      <w:r w:rsidR="005C3A01" w:rsidRPr="009D6D84">
        <w:rPr>
          <w:rFonts w:ascii="Times New Roman" w:hAnsi="Times New Roman" w:cs="Times New Roman"/>
          <w:sz w:val="24"/>
          <w:szCs w:val="24"/>
        </w:rPr>
        <w:br/>
      </w:r>
      <w:r w:rsidR="009D6D84">
        <w:rPr>
          <w:rFonts w:ascii="Times New Roman" w:hAnsi="Times New Roman" w:cs="Times New Roman"/>
          <w:sz w:val="24"/>
          <w:szCs w:val="24"/>
        </w:rPr>
        <w:t xml:space="preserve">       </w:t>
      </w:r>
      <w:r w:rsidRPr="009D6D84">
        <w:rPr>
          <w:rFonts w:ascii="Times New Roman" w:hAnsi="Times New Roman" w:cs="Times New Roman"/>
          <w:sz w:val="24"/>
          <w:szCs w:val="24"/>
        </w:rPr>
        <w:t>o mał</w:t>
      </w:r>
      <w:r w:rsidR="001A062A">
        <w:rPr>
          <w:rFonts w:ascii="Times New Roman" w:hAnsi="Times New Roman" w:cs="Times New Roman"/>
          <w:sz w:val="24"/>
          <w:szCs w:val="24"/>
        </w:rPr>
        <w:t>ym natężeniu ruchu samochodów (</w:t>
      </w:r>
      <w:r w:rsidRPr="009D6D84">
        <w:rPr>
          <w:rFonts w:ascii="Times New Roman" w:hAnsi="Times New Roman" w:cs="Times New Roman"/>
          <w:sz w:val="24"/>
          <w:szCs w:val="24"/>
        </w:rPr>
        <w:t>do 1000 samochodów na dobę, 100 samochodów na</w:t>
      </w:r>
      <w:r w:rsidR="009D6D84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Pr="009D6D84">
        <w:rPr>
          <w:rFonts w:ascii="Times New Roman" w:hAnsi="Times New Roman" w:cs="Times New Roman"/>
          <w:sz w:val="24"/>
          <w:szCs w:val="24"/>
        </w:rPr>
        <w:t xml:space="preserve"> godzinę w szczycie)</w:t>
      </w:r>
      <w:r w:rsidR="005C3A01" w:rsidRPr="009D6D84">
        <w:rPr>
          <w:rFonts w:ascii="Times New Roman" w:hAnsi="Times New Roman" w:cs="Times New Roman"/>
          <w:sz w:val="24"/>
          <w:szCs w:val="24"/>
        </w:rPr>
        <w:t>.</w:t>
      </w:r>
    </w:p>
    <w:p w:rsidR="00F32456" w:rsidRPr="001A062A" w:rsidRDefault="00F32456" w:rsidP="00A42FCB">
      <w:pPr>
        <w:pStyle w:val="Bezodstpw"/>
        <w:spacing w:line="320" w:lineRule="exact"/>
        <w:ind w:left="-426" w:right="-426" w:firstLine="142"/>
        <w:jc w:val="both"/>
        <w:rPr>
          <w:rFonts w:ascii="Times New Roman" w:hAnsi="Times New Roman" w:cs="Times New Roman"/>
          <w:sz w:val="16"/>
          <w:szCs w:val="24"/>
        </w:rPr>
      </w:pPr>
    </w:p>
    <w:p w:rsidR="001A062A" w:rsidRDefault="00F32456" w:rsidP="00A42FCB">
      <w:pPr>
        <w:pStyle w:val="Bezodstpw"/>
        <w:spacing w:line="320" w:lineRule="exact"/>
        <w:ind w:left="-426" w:righ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 xml:space="preserve">W koncepcji  używamy również nazw : szlak rowerowy i </w:t>
      </w:r>
      <w:r w:rsidR="008A5283" w:rsidRPr="009D6D84">
        <w:rPr>
          <w:rFonts w:ascii="Times New Roman" w:hAnsi="Times New Roman" w:cs="Times New Roman"/>
          <w:sz w:val="24"/>
          <w:szCs w:val="24"/>
        </w:rPr>
        <w:t>trasa rowerowa</w:t>
      </w:r>
      <w:r w:rsidRPr="009D6D84">
        <w:rPr>
          <w:rFonts w:ascii="Times New Roman" w:hAnsi="Times New Roman" w:cs="Times New Roman"/>
          <w:sz w:val="24"/>
          <w:szCs w:val="24"/>
        </w:rPr>
        <w:t xml:space="preserve">. Szlak rowerowy to po prostu oznakowany w terenie oraz na mapie odcinek trasy rowerowej.  Trasą rowerową  możemy nazwać też określony do przejechania odcinek  ścieżki rowerowej lub określić  warunki przejezdności na zasadzie: trudna trasa rowerowa,  trasa dla rowerów miejskich </w:t>
      </w:r>
      <w:proofErr w:type="spellStart"/>
      <w:r w:rsidRPr="009D6D84">
        <w:rPr>
          <w:rFonts w:ascii="Times New Roman" w:hAnsi="Times New Roman" w:cs="Times New Roman"/>
          <w:sz w:val="24"/>
          <w:szCs w:val="24"/>
        </w:rPr>
        <w:t>i.t.p</w:t>
      </w:r>
      <w:proofErr w:type="spellEnd"/>
      <w:r w:rsidRPr="009D6D84">
        <w:rPr>
          <w:rFonts w:ascii="Times New Roman" w:hAnsi="Times New Roman" w:cs="Times New Roman"/>
          <w:sz w:val="24"/>
          <w:szCs w:val="24"/>
        </w:rPr>
        <w:t xml:space="preserve">. </w:t>
      </w:r>
      <w:r w:rsidR="00A3708F" w:rsidRPr="009D6D84">
        <w:rPr>
          <w:rFonts w:ascii="Times New Roman" w:hAnsi="Times New Roman" w:cs="Times New Roman"/>
          <w:sz w:val="24"/>
          <w:szCs w:val="24"/>
        </w:rPr>
        <w:t xml:space="preserve"> Trasą rowerową możemy nazwać zespół rozwiązań technicznych czytelnie i funkcjonalnie łączących drogi rowerowe, ulice o małym ruchu pojazdów, łączniki rowerowe, śluzy rowerowe,  a przede wszystkim przejazdy rowerowe prze drogi publiczne. </w:t>
      </w:r>
    </w:p>
    <w:p w:rsidR="004455E6" w:rsidRPr="009D6D84" w:rsidRDefault="00A3708F" w:rsidP="00A42FCB">
      <w:pPr>
        <w:pStyle w:val="Bezodstpw"/>
        <w:spacing w:line="320" w:lineRule="exact"/>
        <w:ind w:left="-426" w:righ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 xml:space="preserve">Przejazdy dla rowerów przez drogi publiczne są najważniejszym punktem spójności tras rowerowych a przede wszystkim dróg rowerowych, szczególnie w miejskim terenie zabudowanym.  Od początku wdrażania tego rozwiązania stanowiły </w:t>
      </w:r>
      <w:r w:rsidR="00662F78" w:rsidRPr="009D6D84">
        <w:rPr>
          <w:rFonts w:ascii="Times New Roman" w:hAnsi="Times New Roman" w:cs="Times New Roman"/>
          <w:sz w:val="24"/>
          <w:szCs w:val="24"/>
        </w:rPr>
        <w:t xml:space="preserve">ogromny konflikt pomiędzy wszystkimi użytkownikami tych miejsc (kierowcami, pieszymi i rowerzystami). Owszem to rozwiązanie jest kontrowersyjne, ale praktycznie tylko na odcinkach drogi o dużym ruchu pojazdów nieograniczonej innymi  nakazami podporządkowania.  Rozwiązanie przejazdu rowerowego najlepiej funkcjonuje a zarazem zapewnia bezpieczeństwo  w miejscach, gdzie kierowca samochodu musi się zatrzymać, przed rondem, przed skrzyżowaniem dróg o tych samych parametrach pierwszeństwa, przed skrzyżowaniem z drogą </w:t>
      </w:r>
      <w:r w:rsidR="001A062A">
        <w:rPr>
          <w:rFonts w:ascii="Times New Roman" w:hAnsi="Times New Roman" w:cs="Times New Roman"/>
          <w:sz w:val="24"/>
          <w:szCs w:val="24"/>
        </w:rPr>
        <w:br/>
      </w:r>
      <w:r w:rsidR="00662F78" w:rsidRPr="009D6D84">
        <w:rPr>
          <w:rFonts w:ascii="Times New Roman" w:hAnsi="Times New Roman" w:cs="Times New Roman"/>
          <w:sz w:val="24"/>
          <w:szCs w:val="24"/>
        </w:rPr>
        <w:t>z pierwszeństwem przejazdu, przed przejazdem kolejowym,  na przejściach dla piesz</w:t>
      </w:r>
      <w:r w:rsidR="001A062A">
        <w:rPr>
          <w:rFonts w:ascii="Times New Roman" w:hAnsi="Times New Roman" w:cs="Times New Roman"/>
          <w:sz w:val="24"/>
          <w:szCs w:val="24"/>
        </w:rPr>
        <w:t>ych z sygnalizacją świetlną, i i</w:t>
      </w:r>
      <w:r w:rsidR="00662F78" w:rsidRPr="009D6D84">
        <w:rPr>
          <w:rFonts w:ascii="Times New Roman" w:hAnsi="Times New Roman" w:cs="Times New Roman"/>
          <w:sz w:val="24"/>
          <w:szCs w:val="24"/>
        </w:rPr>
        <w:t xml:space="preserve">n. </w:t>
      </w:r>
    </w:p>
    <w:p w:rsidR="004455E6" w:rsidRPr="009D6D84" w:rsidRDefault="004455E6" w:rsidP="00A42FCB">
      <w:pPr>
        <w:pStyle w:val="Bezodstpw"/>
        <w:spacing w:line="320" w:lineRule="exact"/>
        <w:ind w:left="-426" w:righ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 xml:space="preserve">Niezrozumienie tych wcale nie zasadniczych definicji powoduje czasami konflikty pomiędzy rowerzystami a innymi użytkownikami danej drogi lub pasa ruchu. </w:t>
      </w:r>
    </w:p>
    <w:p w:rsidR="004455E6" w:rsidRPr="009D6D84" w:rsidRDefault="004455E6" w:rsidP="00A42FCB">
      <w:pPr>
        <w:pStyle w:val="Bezodstpw"/>
        <w:spacing w:line="320" w:lineRule="exact"/>
        <w:ind w:left="-426" w:righ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>Nie pomaga temu również oznakowanie p</w:t>
      </w:r>
      <w:r w:rsidR="005C3A01" w:rsidRPr="009D6D84">
        <w:rPr>
          <w:rFonts w:ascii="Times New Roman" w:hAnsi="Times New Roman" w:cs="Times New Roman"/>
          <w:sz w:val="24"/>
          <w:szCs w:val="24"/>
        </w:rPr>
        <w:t>ionowe zarówno drogi rowerowej/</w:t>
      </w:r>
      <w:r w:rsidRPr="009D6D84">
        <w:rPr>
          <w:rFonts w:ascii="Times New Roman" w:hAnsi="Times New Roman" w:cs="Times New Roman"/>
          <w:sz w:val="24"/>
          <w:szCs w:val="24"/>
        </w:rPr>
        <w:t>ciągu pieszo- rowerowego znakami drogowymi odnoszącymi się zarówno do rowerzystów, jak tez do innych użytkowników drogi lub pasa ruchu. Oznakowanie poziome w jakiś sposób to precyzyjniej określa, gdzie dany pas jest drogą rowerową lub ciągiem pieszo-rowerowym, ale trwałość tego ozna</w:t>
      </w:r>
      <w:r w:rsidR="005C3A01" w:rsidRPr="009D6D84">
        <w:rPr>
          <w:rFonts w:ascii="Times New Roman" w:hAnsi="Times New Roman" w:cs="Times New Roman"/>
          <w:sz w:val="24"/>
          <w:szCs w:val="24"/>
        </w:rPr>
        <w:t xml:space="preserve">kowania jest niezwykle krótka. </w:t>
      </w:r>
      <w:r w:rsidRPr="009D6D84">
        <w:rPr>
          <w:rFonts w:ascii="Times New Roman" w:hAnsi="Times New Roman" w:cs="Times New Roman"/>
          <w:sz w:val="24"/>
          <w:szCs w:val="24"/>
        </w:rPr>
        <w:t xml:space="preserve">Najwięcej niejasności wśród użytkowników drogi, chodnika, pasa ruchu wzbudza zabarwione podłoże- </w:t>
      </w:r>
      <w:r w:rsidR="00A3708F" w:rsidRPr="009D6D84">
        <w:rPr>
          <w:rFonts w:ascii="Times New Roman" w:hAnsi="Times New Roman" w:cs="Times New Roman"/>
          <w:sz w:val="24"/>
          <w:szCs w:val="24"/>
        </w:rPr>
        <w:t xml:space="preserve">czerwono brązowy  asfalt,  ceglano czerwona kostka brukowa.   Obecnie są to bardzo chaotyczne rozwiązania, szczególnie w ciągach chodników dla pieszych, które przecinają wyjazdy z posesji. </w:t>
      </w:r>
      <w:r w:rsidR="00E52A9D" w:rsidRPr="009D6D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FCB" w:rsidRDefault="00A42FCB" w:rsidP="00A42FCB">
      <w:pPr>
        <w:pStyle w:val="Bezodstpw"/>
        <w:spacing w:line="36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A42FCB" w:rsidRDefault="00A42FCB" w:rsidP="00A42FCB">
      <w:pPr>
        <w:pStyle w:val="Bezodstpw"/>
        <w:spacing w:line="36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A42FCB" w:rsidRDefault="00A42FCB" w:rsidP="00A42FCB">
      <w:pPr>
        <w:pStyle w:val="Bezodstpw"/>
        <w:spacing w:line="36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A42FCB" w:rsidRDefault="00A42FCB" w:rsidP="00A42FCB">
      <w:pPr>
        <w:pStyle w:val="Bezodstpw"/>
        <w:spacing w:line="36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487FBF" w:rsidRPr="001A062A" w:rsidRDefault="00E52A9D" w:rsidP="00A42FCB">
      <w:pPr>
        <w:pStyle w:val="Bezodstpw"/>
        <w:spacing w:line="360" w:lineRule="auto"/>
        <w:ind w:left="-426" w:right="-426"/>
        <w:jc w:val="both"/>
        <w:rPr>
          <w:rFonts w:ascii="Times New Roman" w:hAnsi="Times New Roman" w:cs="Times New Roman"/>
          <w:sz w:val="24"/>
          <w:szCs w:val="24"/>
        </w:rPr>
      </w:pPr>
      <w:r w:rsidRPr="009D6D84">
        <w:rPr>
          <w:rFonts w:ascii="Times New Roman" w:hAnsi="Times New Roman" w:cs="Times New Roman"/>
          <w:sz w:val="24"/>
          <w:szCs w:val="24"/>
        </w:rPr>
        <w:t>W wyznaczaniu ścieżki rowerowej  braliśmy kryteria C.R.O.W., które w sposób oczywisty nakazują podstawowe zasady</w:t>
      </w:r>
      <w:r w:rsidR="0050456A" w:rsidRPr="009D6D8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54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"/>
        <w:gridCol w:w="2197"/>
        <w:gridCol w:w="1098"/>
        <w:gridCol w:w="755"/>
        <w:gridCol w:w="755"/>
        <w:gridCol w:w="755"/>
        <w:gridCol w:w="755"/>
        <w:gridCol w:w="755"/>
        <w:gridCol w:w="755"/>
        <w:gridCol w:w="1355"/>
        <w:gridCol w:w="160"/>
      </w:tblGrid>
      <w:tr w:rsidR="00487FBF" w:rsidRPr="009D6D84" w:rsidTr="001A062A">
        <w:trPr>
          <w:trHeight w:val="285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9D6D84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85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18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E699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  <w:t xml:space="preserve">kryteria </w:t>
            </w:r>
            <w:proofErr w:type="spellStart"/>
            <w:r w:rsidRPr="001A06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  <w:t>C.R.O.W</w:t>
            </w:r>
            <w:proofErr w:type="spellEnd"/>
            <w:r w:rsidRPr="001A06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  <w:t>spójność (S)</w:t>
            </w:r>
          </w:p>
        </w:tc>
        <w:tc>
          <w:tcPr>
            <w:tcW w:w="698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6E0B4"/>
            <w:hideMark/>
          </w:tcPr>
          <w:p w:rsidR="00487FBF" w:rsidRDefault="00487FBF" w:rsidP="001A062A">
            <w:pPr>
              <w:spacing w:after="0" w:line="240" w:lineRule="auto"/>
              <w:ind w:left="72" w:right="109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t>Spójność oznacza, że trasy łączą ze sobą wszystkie źródła i cele podróży, umożliwiają (w ciągu kilku minut) łatwy do nich dojazd i dają możliwość wyboru wariantów podróży w zależności od preferencji; w rejonach zwartej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zabudowy trasy główne powinny być uzupełniane innymi trasami niższego rzędu (o charakterze m</w:t>
            </w:r>
            <w:bookmarkStart w:id="0" w:name="_GoBack"/>
            <w:bookmarkEnd w:id="0"/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t>iejskim lub lokalnym).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Rezygnacja z wykonania danej trasy głównej (lub jej fragmentu) może spowodować, że sieć stanie się niespójna, nieciągła i niedostępna oraz nie zachęci do wyboru roweru jako środka transportu.</w:t>
            </w:r>
          </w:p>
          <w:p w:rsidR="001A062A" w:rsidRPr="001A062A" w:rsidRDefault="001A062A" w:rsidP="001A062A">
            <w:pPr>
              <w:spacing w:after="0" w:line="240" w:lineRule="auto"/>
              <w:ind w:left="72" w:right="109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04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  <w:t>bezpośredniość (N)</w:t>
            </w:r>
          </w:p>
        </w:tc>
        <w:tc>
          <w:tcPr>
            <w:tcW w:w="698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2EFDA"/>
            <w:hideMark/>
          </w:tcPr>
          <w:p w:rsidR="00487FBF" w:rsidRDefault="00487FBF" w:rsidP="001A062A">
            <w:pPr>
              <w:spacing w:after="0" w:line="240" w:lineRule="auto"/>
              <w:ind w:left="72" w:right="109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t>Bezpośredniość oznacza możliwie najkrótsze powiązania pomiędzy źródłami i celami podróży (preferowane są trasy krótsze, nawet te o gorszych parametrach); zalecany współczynnik wydłużenia trasy: nie większy niż 1,2;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odcinkowe zwiększenie wartości tego współczynnika wynika z konieczności omijania istniejącej zwartej zabudowy, terenów przemysłowych i stromych wzniesień. Niespełnienie tego warunku może spowodować, że rowerzyści skorzystają z ulic, przy których nie da się wydzielić dróg lub pasów ruchu dla rowerów</w:t>
            </w:r>
            <w:r w:rsid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t>.</w:t>
            </w:r>
          </w:p>
          <w:p w:rsidR="001A062A" w:rsidRPr="001A062A" w:rsidRDefault="001A062A" w:rsidP="001A062A">
            <w:pPr>
              <w:spacing w:after="0" w:line="240" w:lineRule="auto"/>
              <w:ind w:left="72" w:right="109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12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  <w:t>atrakcyjność (A)</w:t>
            </w:r>
          </w:p>
        </w:tc>
        <w:tc>
          <w:tcPr>
            <w:tcW w:w="698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:rsidR="00487FBF" w:rsidRDefault="00487FBF" w:rsidP="001A062A">
            <w:pPr>
              <w:spacing w:after="0" w:line="240" w:lineRule="auto"/>
              <w:ind w:left="71" w:right="251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t>Elementy decydujące o atrakcyjności trasy: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• oświetlenie;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• bezpieczeństwo indywidualne;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• zieleń w otoczeniu trasy;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• czytelność trasy.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Niespełnienie tego warunku może zniechęcić do korzystania z roweru jako środka komunikacji, zwłaszcza w porze nocnej lub może powodować wybór trasy dłuższej, ale ciekawszej.</w:t>
            </w:r>
          </w:p>
          <w:p w:rsidR="001A062A" w:rsidRPr="001A062A" w:rsidRDefault="001A062A" w:rsidP="001A062A">
            <w:pPr>
              <w:spacing w:after="0" w:line="240" w:lineRule="auto"/>
              <w:ind w:left="71" w:right="251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313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1007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pl-PL"/>
              </w:rPr>
              <w:t>bezpieczeństwo</w:t>
            </w:r>
            <w:r w:rsidRPr="001A062A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pl-PL"/>
              </w:rPr>
              <w:br/>
              <w:t>w ruchu drogowym</w:t>
            </w:r>
            <w:r w:rsidRPr="001A062A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pl-PL"/>
              </w:rPr>
              <w:br/>
              <w:t>(B)</w:t>
            </w:r>
          </w:p>
        </w:tc>
        <w:tc>
          <w:tcPr>
            <w:tcW w:w="6983" w:type="dxa"/>
            <w:gridSpan w:val="8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2EFDA"/>
            <w:hideMark/>
          </w:tcPr>
          <w:p w:rsidR="00487FBF" w:rsidRDefault="00487FBF" w:rsidP="001A062A">
            <w:pPr>
              <w:spacing w:after="0" w:line="240" w:lineRule="auto"/>
              <w:ind w:left="71" w:right="109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t>Elementy bezpieczeństwa dla ruchu rowerowego:</w:t>
            </w:r>
            <w:r w:rsidRPr="001A062A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br/>
              <w:t>• rozdzielenie różnych rodzajów ruchu;</w:t>
            </w:r>
            <w:r w:rsidRPr="001A062A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br/>
              <w:t>• jednoznaczność sytuacji (czyli brak krzyżowania się różnych rodzajów ruchu w nieoczekiwanych miejscach);</w:t>
            </w:r>
            <w:r w:rsidRPr="001A062A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br/>
              <w:t>• właściwa szerokość dróg oraz właściwa geometria skrzyżowań i ich oznakowanie (zwłaszcza dobór znaków poziomych);</w:t>
            </w:r>
            <w:r w:rsidRPr="001A062A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br/>
              <w:t>• dobra widoczność (czyli doprowadzenie do krzyżowania się różnych rodzajów ruchu w miejscach dobrze widocznych z daleka);</w:t>
            </w:r>
            <w:r w:rsidRPr="001A062A"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  <w:br/>
              <w:t>• konsekwentne prowadzenie ruchu rowerowego po jednej stronie jezdni (a jeśli przenoszenie ruchu rowerowego na drugą stronę jezdni, to w miejscach o dobrej widoczności, gdzie samochody jadą z ograniczoną prędkością); niespełnienie tego warunku to jedna z najczęstszych przyczyn nieużywania roweru do celów komunikacyjnych.</w:t>
            </w:r>
          </w:p>
          <w:p w:rsidR="001A062A" w:rsidRPr="001A062A" w:rsidRDefault="001A062A" w:rsidP="001A062A">
            <w:pPr>
              <w:spacing w:after="0" w:line="240" w:lineRule="auto"/>
              <w:ind w:left="71" w:right="109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884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  <w:t>wygoda (W)</w:t>
            </w:r>
          </w:p>
        </w:tc>
        <w:tc>
          <w:tcPr>
            <w:tcW w:w="698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9D08E"/>
            <w:hideMark/>
          </w:tcPr>
          <w:p w:rsidR="00487FBF" w:rsidRPr="001A062A" w:rsidRDefault="00487FBF" w:rsidP="001A062A">
            <w:pPr>
              <w:spacing w:after="0" w:line="240" w:lineRule="auto"/>
              <w:ind w:left="71" w:right="109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t>Elementy decydujące o wygodzie trasy: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• równość nawierzchni (optymalna nawierzchnia bitumiczna);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• brak krawężników i garbów w poprzek drogi rowerowej;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• małe pochylenia podłużne (nie większe niż 6%);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• mało utrudnień w ruchu, wymagających zmniejszenia prędkości jazdy przez rowerzystę lub zatrzymania się;</w:t>
            </w:r>
            <w:r w:rsidRPr="001A062A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  <w:br/>
              <w:t>• brak konieczności intensywnego manewrowania rowerem między parkującymi samochodami i pieszymi; to warunek istotny dla osób o mniejszej kondycji i słabszym zdrowiu oraz osób, którym zależy na krótkim czasie przejazdu.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76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69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1A062A">
            <w:pPr>
              <w:spacing w:after="0" w:line="24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487FBF" w:rsidRPr="001A062A" w:rsidTr="001A062A">
        <w:trPr>
          <w:trHeight w:val="272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FBF" w:rsidRPr="001A062A" w:rsidRDefault="00487FBF" w:rsidP="009D6D84">
            <w:pPr>
              <w:spacing w:after="0" w:line="360" w:lineRule="auto"/>
              <w:ind w:left="-426" w:right="-426" w:firstLine="142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487FBF" w:rsidRPr="001A062A" w:rsidRDefault="00487FBF" w:rsidP="009D6D84">
      <w:pPr>
        <w:pStyle w:val="Bezodstpw"/>
        <w:spacing w:line="360" w:lineRule="auto"/>
        <w:ind w:left="-426" w:right="-426" w:firstLine="142"/>
        <w:rPr>
          <w:sz w:val="20"/>
          <w:szCs w:val="24"/>
        </w:rPr>
      </w:pPr>
    </w:p>
    <w:sectPr w:rsidR="00487FBF" w:rsidRPr="001A062A" w:rsidSect="00A42FCB">
      <w:pgSz w:w="11906" w:h="16838"/>
      <w:pgMar w:top="426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D268B"/>
    <w:multiLevelType w:val="hybridMultilevel"/>
    <w:tmpl w:val="9E18903C"/>
    <w:lvl w:ilvl="0" w:tplc="C4E88D70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4E460C1A"/>
    <w:multiLevelType w:val="hybridMultilevel"/>
    <w:tmpl w:val="CBCE447C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EE"/>
    <w:rsid w:val="000C40D9"/>
    <w:rsid w:val="00106E78"/>
    <w:rsid w:val="001A062A"/>
    <w:rsid w:val="001D6500"/>
    <w:rsid w:val="00386F0B"/>
    <w:rsid w:val="004455E6"/>
    <w:rsid w:val="00487FBF"/>
    <w:rsid w:val="004E5CC7"/>
    <w:rsid w:val="004F1EC5"/>
    <w:rsid w:val="0050456A"/>
    <w:rsid w:val="005B26F1"/>
    <w:rsid w:val="005C3A01"/>
    <w:rsid w:val="00633E5E"/>
    <w:rsid w:val="00662F78"/>
    <w:rsid w:val="008832F1"/>
    <w:rsid w:val="008A5283"/>
    <w:rsid w:val="009D6D84"/>
    <w:rsid w:val="009F3000"/>
    <w:rsid w:val="00A16E13"/>
    <w:rsid w:val="00A3708F"/>
    <w:rsid w:val="00A42FCB"/>
    <w:rsid w:val="00B261AD"/>
    <w:rsid w:val="00C91432"/>
    <w:rsid w:val="00E52A9D"/>
    <w:rsid w:val="00E76082"/>
    <w:rsid w:val="00E85909"/>
    <w:rsid w:val="00EB19EE"/>
    <w:rsid w:val="00F32456"/>
    <w:rsid w:val="00FD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6D5B1-EA35-4BCE-95CA-209B2ABF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9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D650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2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F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1EA0C-D748-4261-8940-FF762019A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Małgorzata Adamiak</cp:lastModifiedBy>
  <cp:revision>7</cp:revision>
  <cp:lastPrinted>2017-02-13T15:36:00Z</cp:lastPrinted>
  <dcterms:created xsi:type="dcterms:W3CDTF">2017-02-09T20:31:00Z</dcterms:created>
  <dcterms:modified xsi:type="dcterms:W3CDTF">2017-02-13T15:37:00Z</dcterms:modified>
</cp:coreProperties>
</file>