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7A535ED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3A839EEF"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1772A1" w:rsidP="00B35805">
          <w:pPr>
            <w:suppressAutoHyphens w:val="0"/>
            <w:rPr>
              <w:rFonts w:ascii="Arial" w:eastAsia="Times New Roman" w:hAnsi="Arial" w:cs="Arial"/>
              <w:b/>
              <w:sz w:val="28"/>
              <w:szCs w:val="28"/>
              <w:lang w:eastAsia="ar-SA"/>
            </w:rPr>
          </w:pPr>
        </w:p>
      </w:sdtContent>
    </w:sdt>
    <w:p w14:paraId="27BB6D26" w14:textId="5E6B2342"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sal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Hubertusie,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701969">
        <w:rPr>
          <w:rFonts w:ascii="Arial" w:eastAsia="Times New Roman" w:hAnsi="Arial" w:cs="Arial"/>
          <w:color w:val="FF0000"/>
          <w:lang w:eastAsia="ar-SA"/>
        </w:rPr>
        <w:t>23</w:t>
      </w:r>
      <w:r w:rsidRPr="00701969">
        <w:rPr>
          <w:rFonts w:ascii="Arial" w:eastAsia="Times New Roman" w:hAnsi="Arial" w:cs="Arial"/>
          <w:color w:val="FF0000"/>
          <w:lang w:eastAsia="ar-SA"/>
        </w:rPr>
        <w:t>.</w:t>
      </w:r>
      <w:r w:rsidR="00ED1946" w:rsidRPr="00701969">
        <w:rPr>
          <w:rFonts w:ascii="Arial" w:eastAsia="Times New Roman" w:hAnsi="Arial" w:cs="Arial"/>
          <w:color w:val="FF0000"/>
          <w:lang w:eastAsia="ar-SA"/>
        </w:rPr>
        <w:t>06</w:t>
      </w:r>
      <w:r w:rsidRPr="00701969">
        <w:rPr>
          <w:rFonts w:ascii="Arial" w:eastAsia="Times New Roman" w:hAnsi="Arial" w:cs="Arial"/>
          <w:color w:val="FF0000"/>
          <w:lang w:eastAsia="ar-SA"/>
        </w:rPr>
        <w:t>.20</w:t>
      </w:r>
      <w:r w:rsidR="00ED1946" w:rsidRPr="00701969">
        <w:rPr>
          <w:rFonts w:ascii="Arial" w:eastAsia="Times New Roman" w:hAnsi="Arial" w:cs="Arial"/>
          <w:color w:val="FF0000"/>
          <w:lang w:eastAsia="ar-SA"/>
        </w:rPr>
        <w:t>2</w:t>
      </w:r>
      <w:r w:rsidR="00701969" w:rsidRPr="00701969">
        <w:rPr>
          <w:rFonts w:ascii="Arial" w:eastAsia="Times New Roman" w:hAnsi="Arial" w:cs="Arial"/>
          <w:color w:val="FF0000"/>
          <w:lang w:eastAsia="ar-SA"/>
        </w:rPr>
        <w:t>1</w:t>
      </w:r>
      <w:r w:rsidR="001A0DB7" w:rsidRPr="00701969">
        <w:rPr>
          <w:rFonts w:ascii="Arial" w:eastAsia="Times New Roman" w:hAnsi="Arial" w:cs="Arial"/>
          <w:color w:val="FF0000"/>
          <w:lang w:eastAsia="ar-SA"/>
        </w:rPr>
        <w:t xml:space="preserve"> </w:t>
      </w:r>
      <w:r w:rsidRPr="00701969">
        <w:rPr>
          <w:rFonts w:ascii="Arial" w:eastAsia="Times New Roman" w:hAnsi="Arial" w:cs="Arial"/>
          <w:color w:val="FF0000"/>
          <w:lang w:eastAsia="ar-SA"/>
        </w:rPr>
        <w:t xml:space="preserve">r. liczy </w:t>
      </w:r>
      <w:r w:rsidR="00701969" w:rsidRPr="00701969">
        <w:rPr>
          <w:rFonts w:ascii="Arial" w:eastAsia="Times New Roman" w:hAnsi="Arial" w:cs="Arial"/>
          <w:color w:val="FF0000"/>
          <w:lang w:eastAsia="ar-SA"/>
        </w:rPr>
        <w:t>37</w:t>
      </w:r>
      <w:r w:rsidRPr="00701969">
        <w:rPr>
          <w:rFonts w:ascii="Arial" w:eastAsia="Times New Roman" w:hAnsi="Arial" w:cs="Arial"/>
          <w:color w:val="FF0000"/>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7E1885" w:rsidRDefault="007E1885" w:rsidP="006075E7">
            <w:pPr>
              <w:snapToGrid w:val="0"/>
              <w:spacing w:after="0"/>
              <w:jc w:val="center"/>
              <w:textAlignment w:val="auto"/>
              <w:rPr>
                <w:color w:val="FF0000"/>
                <w:sz w:val="18"/>
                <w:szCs w:val="18"/>
              </w:rPr>
            </w:pPr>
            <w:r w:rsidRPr="007E1885">
              <w:rPr>
                <w:rFonts w:ascii="Arial" w:eastAsia="Times New Roman" w:hAnsi="Arial" w:cs="Arial"/>
                <w:color w:val="FF0000"/>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7E1885" w:rsidRDefault="007E1885" w:rsidP="006075E7">
            <w:pPr>
              <w:snapToGrid w:val="0"/>
              <w:spacing w:after="0"/>
              <w:jc w:val="center"/>
              <w:textAlignment w:val="auto"/>
              <w:rPr>
                <w:color w:val="FF0000"/>
                <w:sz w:val="18"/>
                <w:szCs w:val="18"/>
              </w:rPr>
            </w:pPr>
            <w:r w:rsidRPr="007E1885">
              <w:rPr>
                <w:rFonts w:ascii="Arial" w:eastAsia="Times New Roman" w:hAnsi="Arial" w:cs="Arial"/>
                <w:color w:val="FF0000"/>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7E1885" w:rsidRDefault="007E1885" w:rsidP="006075E7">
            <w:pPr>
              <w:snapToGrid w:val="0"/>
              <w:spacing w:after="0"/>
              <w:jc w:val="center"/>
              <w:textAlignment w:val="auto"/>
              <w:rPr>
                <w:color w:val="FF0000"/>
                <w:sz w:val="18"/>
                <w:szCs w:val="18"/>
              </w:rPr>
            </w:pPr>
            <w:r w:rsidRPr="007E1885">
              <w:rPr>
                <w:rFonts w:ascii="Arial" w:eastAsia="Times New Roman" w:hAnsi="Arial" w:cs="Arial"/>
                <w:color w:val="FF0000"/>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Elpeko</w:t>
            </w:r>
          </w:p>
          <w:p w14:paraId="5328443B"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Irena Duda</w:t>
            </w:r>
          </w:p>
          <w:p w14:paraId="0500D557"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Kowol Bernard</w:t>
            </w:r>
          </w:p>
          <w:p w14:paraId="5FAFF792"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Stowarzyszenie Wędkarstwa Sportowego "Babiczok"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DEKMAL</w:t>
            </w:r>
          </w:p>
          <w:p w14:paraId="182D0AD1"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OSP Pietrowice Wielkie</w:t>
            </w:r>
          </w:p>
          <w:p w14:paraId="1D444330"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Fundacja Gniazdo</w:t>
            </w:r>
          </w:p>
          <w:p w14:paraId="117957C3"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Zygmunt Kandora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ar-SA"/>
              </w:rPr>
            </w:pPr>
          </w:p>
          <w:p w14:paraId="4AE7FED3"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Usługi pogrzebowe Kitel Sylwia</w:t>
            </w:r>
          </w:p>
          <w:p w14:paraId="4127D079"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7E1885" w:rsidRDefault="007E1885" w:rsidP="006075E7">
            <w:pPr>
              <w:suppressAutoHyphens w:val="0"/>
              <w:spacing w:after="0"/>
              <w:textAlignment w:val="auto"/>
              <w:rPr>
                <w:color w:val="FF0000"/>
                <w:sz w:val="18"/>
                <w:szCs w:val="18"/>
              </w:rPr>
            </w:pPr>
            <w:r w:rsidRPr="007E1885">
              <w:rPr>
                <w:rFonts w:ascii="Arial" w:eastAsia="Times New Roman" w:hAnsi="Arial" w:cs="Arial"/>
                <w:color w:val="FF0000"/>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7E1885" w:rsidRDefault="007E1885" w:rsidP="006075E7">
            <w:pPr>
              <w:snapToGrid w:val="0"/>
              <w:spacing w:after="0"/>
              <w:textAlignment w:val="auto"/>
              <w:rPr>
                <w:color w:val="FF0000"/>
                <w:sz w:val="18"/>
                <w:szCs w:val="18"/>
              </w:rPr>
            </w:pPr>
            <w:r w:rsidRPr="007E1885">
              <w:rPr>
                <w:rFonts w:ascii="Arial" w:eastAsia="Times New Roman" w:hAnsi="Arial" w:cs="Arial"/>
                <w:color w:val="FF0000"/>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ar-SA"/>
              </w:rPr>
            </w:pPr>
            <w:r w:rsidRPr="007E1885">
              <w:rPr>
                <w:rFonts w:ascii="Arial" w:eastAsia="Times New Roman" w:hAnsi="Arial" w:cs="Arial"/>
                <w:color w:val="FF0000"/>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Stefania Pendziałek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Gerard Fitzon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Cecylia Pawlasek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Antoni Gincel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Małgorzata Niewiera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Elżbieta Hermet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7E1885" w:rsidRDefault="007E1885" w:rsidP="006075E7">
            <w:pPr>
              <w:suppressAutoHyphens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7E1885" w:rsidRDefault="007E1885" w:rsidP="006075E7">
            <w:pPr>
              <w:snapToGrid w:val="0"/>
              <w:spacing w:after="0"/>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7E1885" w:rsidRDefault="007E1885" w:rsidP="006075E7">
            <w:pPr>
              <w:suppressAutoHyphens w:val="0"/>
              <w:snapToGrid w:val="0"/>
              <w:spacing w:after="0" w:line="240" w:lineRule="auto"/>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7E1885" w:rsidRDefault="007E1885" w:rsidP="006075E7">
            <w:pPr>
              <w:suppressAutoHyphens w:val="0"/>
              <w:snapToGrid w:val="0"/>
              <w:spacing w:after="0" w:line="240" w:lineRule="auto"/>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7E1885" w:rsidRDefault="007E1885" w:rsidP="006075E7">
            <w:pPr>
              <w:suppressAutoHyphens w:val="0"/>
              <w:snapToGrid w:val="0"/>
              <w:spacing w:after="0" w:line="240" w:lineRule="auto"/>
              <w:textAlignment w:val="auto"/>
              <w:rPr>
                <w:rFonts w:ascii="Arial" w:eastAsia="Times New Roman" w:hAnsi="Arial" w:cs="Arial"/>
                <w:color w:val="FF0000"/>
                <w:sz w:val="18"/>
                <w:szCs w:val="18"/>
                <w:lang w:eastAsia="pl-PL"/>
              </w:rPr>
            </w:pPr>
            <w:r w:rsidRPr="007E1885">
              <w:rPr>
                <w:rFonts w:ascii="Arial" w:eastAsia="Times New Roman" w:hAnsi="Arial" w:cs="Arial"/>
                <w:color w:val="FF0000"/>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Krzanowice/Andrzej Strzedulla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Zygmunt Kandora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Romuald Pelka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jst,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defaworyzowane . Jako grupy defaworyzowane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defaworyzowanych. Z osób tych utworzony został dwudziestopięcio osobowy zespół reprezentujący sektory: publiczny, gospodarczy, społeczny oraz mieszkańcy i przedstawiciele grup defaworyzowanych.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adresatów-interesiariuszy, w tym grup defaworyzowanych.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Wspólne spotkania liderów grup - przedstawicieli wszystkich sektorów i podejmowana w ich trakcie analiza dotycząca zdiagnozowania ludności i jej najbardziej palących problemów, doprowadziły do określenia dwóch grup terenu LGD, określanych dalej jako grupy defaworyzowane.</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społeczno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defaworyzowana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informacyjno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Ostatnią, trzecią grupą defaworyzowaną,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Gmna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Liczba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średnie ogólno-kształcące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Wyniki diagnozy pozwalają na wskazanie najważniejszych obszarów problemów, których rozwiązaniem powinno wziąć się pod uwagę przy budowie celów i przedsięwzięć LGD przy uwzględnieniu swoich możliwości kompetencyjnych jak i organizacyjno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społeczno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Obecna sytuacja społeczno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społeczno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Ostrawsko-Karwińskie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Łężczok.</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międzydolinne.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„Łężczok”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„Łężczok”, jako jego części. Sprzyjające warunki oraz zapewnienie ochrony specjalnego obszaru ochrony siedlisk w ramach Natura 2000 dla kompleksu stawów Łężczoka,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„Sudicky Okruh”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Gmina Rudnik i Gmina Nędza – Szlakiem Młodości Eichendorffa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wycużnika–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Łężczok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kroszonki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Inne zaś pokazuje się jedynie w formie interaktywnego widowiska, w celu zachowania od zapomnienia: darcie pierza, chodzenie z gaikiem, wróżby andrzejkowe, noc świętojańska, obchody świętomarcińskie.</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Park Krajobrazowy „Cysterskie Kompozycje Krajobrazowe Rud Wielkich” - obejmuje obszar 49.387 ha, położony jest w obrębie zlewni Rudy, Suminy i Bierawki. Tylko niewielka, zachodnia jego część należy do przyrzecza Odry. Ze względu na rekreacyjno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klasztorno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Rezerwat przyrody Łężczok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nagroblowe,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 terenie Łężczoka znajduje się też jeden z obiektów zabytkowych gminy Nędza, wpisany do rejestru zabytków. Jest nim dworek myśliwski, usytuowany pomiędzy stawami Ligotnik i Brzeziniak,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Benedikt Freiherr von Eichendorff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Eichendorffa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heimatu,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 pałacu w Łubowicach, w którym urodził się poeta, pozostała ledwie ruina. W pobliskiej Brzeźnicy zachował się obiekt związany z młodością Eichendorffa. Stoi nad strumieniem młyn nazywany „na wygonie”. Do niego podążał młody Eichendorff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Eichendorffa.</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Kompleks parkowo-pałacowy w Wojnowicach udostępniany jest jako: miejsce do zwiedzania niektórych pałacowych sal,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1.Atrakcyjne położenie w obszarach o korzystnych warunkach agroklimatycznych</w:t>
            </w:r>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Natomiast szansami pozytywnie oddziaływującymi jest z pewnością bliskość granicy oraz korzystne warunki agroklimatyczne. Nie bez znaczenia jest także wyżynowate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A27598">
              <w:rPr>
                <w:rFonts w:ascii="Times New Roman" w:eastAsia="Times New Roman" w:hAnsi="Times New Roman"/>
                <w:color w:val="FF0000"/>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 </w:t>
            </w:r>
            <w:r w:rsidR="00A27598">
              <w:rPr>
                <w:rFonts w:ascii="Times New Roman" w:eastAsia="Times New Roman" w:hAnsi="Times New Roman"/>
                <w:color w:val="FF0000"/>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D3304E">
              <w:rPr>
                <w:rFonts w:ascii="Times New Roman" w:eastAsia="Times New Roman" w:hAnsi="Times New Roman"/>
                <w:color w:val="FF0000"/>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Pr>
                <w:rFonts w:ascii="Times New Roman" w:eastAsia="Times New Roman" w:hAnsi="Times New Roman"/>
                <w:color w:val="FF0000"/>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B76841">
              <w:rPr>
                <w:rFonts w:ascii="Times New Roman" w:eastAsia="Times New Roman" w:hAnsi="Times New Roman"/>
                <w:color w:val="FF0000"/>
                <w:sz w:val="16"/>
                <w:szCs w:val="16"/>
                <w:lang w:eastAsia="pl-PL"/>
              </w:rPr>
              <w:t>w tym opracowanie koncepcji Smart Village</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07AD3F92" w:rsidR="0033223B" w:rsidRPr="0033223B" w:rsidRDefault="00FA7DBC" w:rsidP="0033223B">
            <w:pPr>
              <w:spacing w:after="120"/>
              <w:jc w:val="center"/>
              <w:textAlignment w:val="auto"/>
              <w:rPr>
                <w:rFonts w:ascii="Times New Roman" w:eastAsia="Times New Roman" w:hAnsi="Times New Roman"/>
                <w:sz w:val="18"/>
                <w:szCs w:val="18"/>
                <w:lang w:eastAsia="pl-PL"/>
              </w:rPr>
            </w:pPr>
            <w:r w:rsidRPr="00FA7DBC">
              <w:rPr>
                <w:rFonts w:ascii="Times New Roman" w:eastAsia="Times New Roman" w:hAnsi="Times New Roman"/>
                <w:color w:val="FF0000"/>
                <w:sz w:val="18"/>
                <w:szCs w:val="18"/>
                <w:lang w:eastAsia="pl-PL"/>
              </w:rPr>
              <w:t>12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10</w:t>
            </w:r>
            <w:r w:rsidR="007E1ED5" w:rsidRPr="007E1ED5">
              <w:rPr>
                <w:rFonts w:ascii="Times New Roman" w:eastAsia="Times New Roman" w:hAnsi="Times New Roman"/>
                <w:color w:val="FF0000"/>
                <w:sz w:val="18"/>
                <w:szCs w:val="18"/>
                <w:lang w:eastAsia="pl-PL"/>
              </w:rPr>
              <w:t xml:space="preserve"> 5</w:t>
            </w:r>
            <w:r w:rsidRPr="007E1ED5">
              <w:rPr>
                <w:rFonts w:ascii="Times New Roman" w:eastAsia="Times New Roman" w:hAnsi="Times New Roman"/>
                <w:color w:val="FF0000"/>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3</w:t>
            </w:r>
            <w:r w:rsidR="00801FA3">
              <w:rPr>
                <w:rFonts w:ascii="Times New Roman" w:eastAsia="Times New Roman" w:hAnsi="Times New Roman"/>
                <w:color w:val="FF0000"/>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7E1ED5">
              <w:rPr>
                <w:color w:val="FF0000"/>
              </w:rPr>
              <w:t>1</w:t>
            </w:r>
            <w:r w:rsidR="007E1ED5" w:rsidRPr="007E1ED5">
              <w:rPr>
                <w:color w:val="FF0000"/>
              </w:rPr>
              <w:t>2</w:t>
            </w:r>
            <w:r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7E1ED5">
              <w:rPr>
                <w:color w:val="FF0000"/>
              </w:rPr>
              <w:t>5</w:t>
            </w:r>
            <w:r w:rsidR="002E6978"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7E1ED5" w:rsidRDefault="000211E5">
            <w:pPr>
              <w:spacing w:after="0" w:line="240" w:lineRule="auto"/>
              <w:jc w:val="center"/>
            </w:pPr>
          </w:p>
          <w:p w14:paraId="7F6A3715"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7E1ED5" w:rsidRDefault="000211E5">
            <w:pPr>
              <w:spacing w:after="0" w:line="240" w:lineRule="auto"/>
              <w:jc w:val="center"/>
            </w:pPr>
          </w:p>
          <w:p w14:paraId="33BC78AC"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7E1ED5" w:rsidRDefault="000211E5">
            <w:pPr>
              <w:spacing w:after="0" w:line="240" w:lineRule="auto"/>
              <w:jc w:val="center"/>
            </w:pPr>
          </w:p>
          <w:p w14:paraId="003E3CA1" w14:textId="77777777" w:rsidR="000211E5" w:rsidRPr="007E1ED5" w:rsidRDefault="000211E5">
            <w:pPr>
              <w:spacing w:after="0" w:line="240" w:lineRule="auto"/>
              <w:jc w:val="center"/>
            </w:pPr>
          </w:p>
          <w:p w14:paraId="6EA893F9" w14:textId="77777777" w:rsidR="000211E5" w:rsidRPr="007E1ED5" w:rsidRDefault="000211E5">
            <w:pPr>
              <w:spacing w:after="0" w:line="240" w:lineRule="auto"/>
              <w:jc w:val="center"/>
            </w:pPr>
            <w:r w:rsidRPr="007E1ED5">
              <w:t>2</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7E1ED5" w:rsidRDefault="000211E5">
            <w:pPr>
              <w:spacing w:after="0" w:line="240" w:lineRule="auto"/>
              <w:jc w:val="center"/>
            </w:pPr>
          </w:p>
          <w:p w14:paraId="7AD84D01" w14:textId="77777777" w:rsidR="000211E5" w:rsidRPr="007E1ED5" w:rsidRDefault="000211E5">
            <w:pPr>
              <w:spacing w:after="0" w:line="240" w:lineRule="auto"/>
              <w:jc w:val="center"/>
            </w:pPr>
          </w:p>
          <w:p w14:paraId="7F8F66ED" w14:textId="7451A29D" w:rsidR="000211E5" w:rsidRPr="007E1ED5" w:rsidRDefault="000211E5">
            <w:pPr>
              <w:spacing w:after="0" w:line="240" w:lineRule="auto"/>
              <w:jc w:val="center"/>
            </w:pPr>
            <w:r w:rsidRPr="007E1ED5">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„grantobiorcami” , grantów będących środkami finansowymi programu powierzonymi przez LGD grantobiorcą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Kolejnym novum we wdrażaniu LSR na naszym obszarze może być wspieranie dostępności internetu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021E343C" w14:textId="77777777" w:rsidR="003529B8" w:rsidRDefault="00E625EB" w:rsidP="00C31F3A">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5BC6913A" w14:textId="77777777" w:rsidR="00B72444" w:rsidRDefault="00E625EB" w:rsidP="00C31F3A">
      <w:pPr>
        <w:spacing w:line="360" w:lineRule="auto"/>
        <w:ind w:left="-567" w:right="-283"/>
        <w:rPr>
          <w:rFonts w:ascii="Arial" w:hAnsi="Arial" w:cs="Arial"/>
        </w:rPr>
      </w:pPr>
      <w:r>
        <w:rPr>
          <w:rFonts w:ascii="Arial" w:hAnsi="Arial" w:cs="Arial"/>
        </w:rPr>
        <w:t>Wysokość wsparcia przyznawanego na rozpoczynanie działalności gospodarczej wypłacanej w formie płatności ryczałtowej wyniesie 50 tysięcy złotych,</w:t>
      </w:r>
      <w:r w:rsidR="00F73FD4">
        <w:rPr>
          <w:rFonts w:ascii="Arial" w:hAnsi="Arial" w:cs="Arial"/>
        </w:rPr>
        <w:t xml:space="preserve"> </w:t>
      </w:r>
      <w:r>
        <w:rPr>
          <w:rFonts w:ascii="Arial" w:hAnsi="Arial" w:cs="Arial"/>
        </w:rPr>
        <w:t xml:space="preserve">. W tym wypadku biznesplan musi opiewać na kwotę </w:t>
      </w:r>
      <w:r w:rsidR="00F73FD4">
        <w:rPr>
          <w:rFonts w:ascii="Arial" w:hAnsi="Arial" w:cs="Arial"/>
        </w:rPr>
        <w:t>równą 50</w:t>
      </w:r>
      <w:r>
        <w:rPr>
          <w:rFonts w:ascii="Arial" w:hAnsi="Arial" w:cs="Arial"/>
        </w:rPr>
        <w:t xml:space="preserve"> tyś </w:t>
      </w:r>
      <w:r w:rsidR="00F73FD4">
        <w:rPr>
          <w:rFonts w:ascii="Arial" w:hAnsi="Arial" w:cs="Arial"/>
        </w:rPr>
        <w:t>zł</w:t>
      </w:r>
      <w:r>
        <w:rPr>
          <w:rFonts w:ascii="Arial" w:hAnsi="Arial" w:cs="Arial"/>
        </w:rPr>
        <w:t xml:space="preserve">. Kwotę tą ustalono na podstawie średniej wysokości wsparcia przyznawanego na podejmowanie działalności gospodarczej w okresie 2007-2013. Do LGD „Partnerstwo dla Rozwoju” w ww. okresie wpłynął jeden wniosek dotyczący podejmowania działalności gospodarczej, gdzie kwota pomocy wynosiła 45.876,50 złotych. W związku z tym, że w obecnym okresie programowania minimalna kwota wsparcia w tym działaniu to 50 tyś złotych to średnia kwotę tego działania podniesiono do kwoty minimalnego wsparcia. Ponadto zdiagnozowano, że w związku z przyznawaniem finansowania na tego samego typu działanie przez Wojewódzki oraz Powiatowy Urząd Pracy, kwotę należy zwiększyć, co do kwoty proponowanej przez ww. instytucje na rzecz uatrakcyjnienia dla potencjalnych beneficjantów środków proponowanych przez LGD. Realizacja wyżej opisanego działania wynika również z danych publikowanych przez GUS a obrazujących duże bezrobocie osób młodych tj. 18-34 lata, związanych z ich bezrobociem migracji zagranicę. Porównując okresy między 2009 a 2013 migracja wg. GUS wzrosła o 100%. </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w:t>
      </w:r>
      <w:r w:rsidRPr="00321A2A">
        <w:rPr>
          <w:rFonts w:ascii="Arial" w:hAnsi="Arial" w:cs="Arial"/>
          <w:highlight w:val="yellow"/>
        </w:rPr>
        <w:t xml:space="preserve">0 wynosi </w:t>
      </w:r>
      <w:r w:rsidR="002D7B7D">
        <w:rPr>
          <w:rFonts w:ascii="Arial" w:hAnsi="Arial" w:cs="Arial"/>
          <w:highlight w:val="yellow"/>
        </w:rPr>
        <w:t>5</w:t>
      </w:r>
      <w:r w:rsidRPr="00321A2A">
        <w:rPr>
          <w:rFonts w:ascii="Arial" w:hAnsi="Arial" w:cs="Arial"/>
          <w:highlight w:val="yellow"/>
        </w:rPr>
        <w:t>00 tyś. złotych na jednego beneficjanta</w:t>
      </w:r>
      <w:r>
        <w:rPr>
          <w:rFonts w:ascii="Arial" w:hAnsi="Arial" w:cs="Arial"/>
        </w:rPr>
        <w:t>.</w:t>
      </w:r>
      <w:r w:rsidR="003E35FF">
        <w:rPr>
          <w:rFonts w:ascii="Arial" w:hAnsi="Arial" w:cs="Arial"/>
        </w:rPr>
        <w:t xml:space="preserve"> </w:t>
      </w:r>
      <w:r w:rsidR="003E35FF" w:rsidRPr="002D7B7D">
        <w:rPr>
          <w:rFonts w:ascii="Arial" w:hAnsi="Arial" w:cs="Arial"/>
        </w:rPr>
        <w:t xml:space="preserve">Wyjątkiem jest również zakres ujęty w § 2 ust 1 pkt 2 lit c ( rozwijanie działalności gospodarczej), gdzie pomoc jest przyznawana do wysokości limitu 150 tyś. zł na realizację pojedynczej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lastRenderedPageBreak/>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Ochrony Zabytków, opracowanymi w gminie Rudnik i Pietrowice Wielkie – w priorytecie wskazującym na  rewaloryzację dziedzictwa kulturowego jako element rozwoju społeczno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lastRenderedPageBreak/>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Aktywność społeczna i zapobieganie wykluczeniom.</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Cele strategi</w:t>
      </w:r>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w:t>
      </w:r>
      <w:r>
        <w:rPr>
          <w:rFonts w:ascii="Arial" w:eastAsia="Times New Roman" w:hAnsi="Arial" w:cs="Arial"/>
          <w:lang w:eastAsia="ar-SA"/>
        </w:rPr>
        <w:lastRenderedPageBreak/>
        <w:t xml:space="preserve">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MasterPlan dla obszaru dorzecza Odry, Program Wodno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Zachowanie,  odtworzenie i zrównoważone użytkowanie bioróżnorodności i georóżnorodności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 Cel strategiczny: Zachowanie różnorodności biologicznej i georóżnorodności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Program Operacyjny Wiedza Edukacja Rozwój </w:t>
      </w:r>
      <w:r>
        <w:rPr>
          <w:rFonts w:ascii="Arial" w:eastAsia="Times New Roman" w:hAnsi="Arial" w:cs="Arial"/>
          <w:lang w:eastAsia="ar-SA"/>
        </w:rPr>
        <w:t>2014 – 2020. Zintegrowanie celu 1 i 2 z celem CT8 Programu, jego priorytetami inwestycyjnymi: 8ii trwała integracja na rynku pracy ludzi młodych, w 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w:t>
      </w:r>
      <w:r>
        <w:rPr>
          <w:rFonts w:ascii="Arial" w:eastAsia="Times New Roman" w:hAnsi="Arial" w:cs="Arial"/>
          <w:lang w:eastAsia="ar-SA"/>
        </w:rPr>
        <w:lastRenderedPageBreak/>
        <w:t>zakresie nabywania umiejętności aktywnego funkcjonowania w wirtualnym świecie i korzystania z elektronicznych zasobów”, „Wzmacnianie umiejętności rozwojowych organizacji społecznych” oraz „Warsztaty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w:t>
      </w:r>
      <w:r>
        <w:rPr>
          <w:rFonts w:ascii="Arial" w:hAnsi="Arial" w:cs="Arial"/>
        </w:rPr>
        <w:lastRenderedPageBreak/>
        <w:t>spowodować znaczące oddziaływanie na środowisko. Strategia Rozwoju Lokalnego (LSR) to dokument o charakterze strategicznym, który nie przesądza o konkretnych lokalizacjach przedsięwzięć, technologii 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późn.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w:t>
      </w:r>
      <w:r w:rsidR="00AE7F8F" w:rsidRPr="0017385E">
        <w:rPr>
          <w:rFonts w:ascii="Arial" w:hAnsi="Arial" w:cs="Arial"/>
          <w:sz w:val="18"/>
          <w:szCs w:val="18"/>
        </w:rPr>
        <w:lastRenderedPageBreak/>
        <w:t>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B1CC" w14:textId="77777777" w:rsidR="001772A1" w:rsidRDefault="001772A1" w:rsidP="00B72444">
      <w:pPr>
        <w:spacing w:after="0" w:line="240" w:lineRule="auto"/>
      </w:pPr>
      <w:r>
        <w:separator/>
      </w:r>
    </w:p>
  </w:endnote>
  <w:endnote w:type="continuationSeparator" w:id="0">
    <w:p w14:paraId="2F31331A" w14:textId="77777777" w:rsidR="001772A1" w:rsidRDefault="001772A1"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8E6" w14:textId="77777777" w:rsidR="001772A1" w:rsidRDefault="001772A1" w:rsidP="00B72444">
      <w:pPr>
        <w:spacing w:after="0" w:line="240" w:lineRule="auto"/>
      </w:pPr>
      <w:r w:rsidRPr="00B72444">
        <w:rPr>
          <w:color w:val="000000"/>
        </w:rPr>
        <w:separator/>
      </w:r>
    </w:p>
  </w:footnote>
  <w:footnote w:type="continuationSeparator" w:id="0">
    <w:p w14:paraId="4D520572" w14:textId="77777777" w:rsidR="001772A1" w:rsidRDefault="001772A1"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11"/>
  </w:num>
  <w:num w:numId="3">
    <w:abstractNumId w:val="2"/>
  </w:num>
  <w:num w:numId="4">
    <w:abstractNumId w:val="20"/>
  </w:num>
  <w:num w:numId="5">
    <w:abstractNumId w:val="14"/>
  </w:num>
  <w:num w:numId="6">
    <w:abstractNumId w:val="7"/>
  </w:num>
  <w:num w:numId="7">
    <w:abstractNumId w:val="23"/>
  </w:num>
  <w:num w:numId="8">
    <w:abstractNumId w:val="22"/>
  </w:num>
  <w:num w:numId="9">
    <w:abstractNumId w:val="12"/>
  </w:num>
  <w:num w:numId="10">
    <w:abstractNumId w:val="9"/>
  </w:num>
  <w:num w:numId="11">
    <w:abstractNumId w:val="15"/>
  </w:num>
  <w:num w:numId="12">
    <w:abstractNumId w:val="3"/>
  </w:num>
  <w:num w:numId="13">
    <w:abstractNumId w:val="8"/>
  </w:num>
  <w:num w:numId="14">
    <w:abstractNumId w:val="21"/>
  </w:num>
  <w:num w:numId="15">
    <w:abstractNumId w:val="19"/>
  </w:num>
  <w:num w:numId="16">
    <w:abstractNumId w:val="6"/>
  </w:num>
  <w:num w:numId="17">
    <w:abstractNumId w:val="24"/>
  </w:num>
  <w:num w:numId="18">
    <w:abstractNumId w:val="18"/>
  </w:num>
  <w:num w:numId="19">
    <w:abstractNumId w:val="13"/>
  </w:num>
  <w:num w:numId="20">
    <w:abstractNumId w:val="16"/>
  </w:num>
  <w:num w:numId="21">
    <w:abstractNumId w:val="25"/>
  </w:num>
  <w:num w:numId="22">
    <w:abstractNumId w:val="17"/>
  </w:num>
  <w:num w:numId="23">
    <w:abstractNumId w:val="10"/>
  </w:num>
  <w:num w:numId="24">
    <w:abstractNumId w:val="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A3898"/>
    <w:rsid w:val="000B0F7A"/>
    <w:rsid w:val="000E7CF3"/>
    <w:rsid w:val="00115000"/>
    <w:rsid w:val="00133747"/>
    <w:rsid w:val="00133C91"/>
    <w:rsid w:val="001412BF"/>
    <w:rsid w:val="00157623"/>
    <w:rsid w:val="0017385E"/>
    <w:rsid w:val="001772A1"/>
    <w:rsid w:val="001812AD"/>
    <w:rsid w:val="001814AC"/>
    <w:rsid w:val="00185B48"/>
    <w:rsid w:val="001A0DB7"/>
    <w:rsid w:val="001C6B7A"/>
    <w:rsid w:val="001F20BB"/>
    <w:rsid w:val="002864EC"/>
    <w:rsid w:val="002A4C96"/>
    <w:rsid w:val="002A5326"/>
    <w:rsid w:val="002A7E34"/>
    <w:rsid w:val="002B09BB"/>
    <w:rsid w:val="002B5414"/>
    <w:rsid w:val="002C693A"/>
    <w:rsid w:val="002D020E"/>
    <w:rsid w:val="002D4F79"/>
    <w:rsid w:val="002D6EF1"/>
    <w:rsid w:val="002D7B7D"/>
    <w:rsid w:val="002E6978"/>
    <w:rsid w:val="003000E3"/>
    <w:rsid w:val="00310808"/>
    <w:rsid w:val="00315399"/>
    <w:rsid w:val="003210E2"/>
    <w:rsid w:val="00321A2A"/>
    <w:rsid w:val="00325D39"/>
    <w:rsid w:val="003272AC"/>
    <w:rsid w:val="0033223B"/>
    <w:rsid w:val="00336B74"/>
    <w:rsid w:val="003529B8"/>
    <w:rsid w:val="00382FE4"/>
    <w:rsid w:val="00386EBB"/>
    <w:rsid w:val="00395376"/>
    <w:rsid w:val="003B377F"/>
    <w:rsid w:val="003C41D2"/>
    <w:rsid w:val="003D496B"/>
    <w:rsid w:val="003E19CE"/>
    <w:rsid w:val="003E35FF"/>
    <w:rsid w:val="003E5544"/>
    <w:rsid w:val="00436005"/>
    <w:rsid w:val="004625D3"/>
    <w:rsid w:val="0047288D"/>
    <w:rsid w:val="00480FF9"/>
    <w:rsid w:val="004B0B82"/>
    <w:rsid w:val="004C3DA4"/>
    <w:rsid w:val="004D2F65"/>
    <w:rsid w:val="004E004B"/>
    <w:rsid w:val="004E0F6A"/>
    <w:rsid w:val="004E760A"/>
    <w:rsid w:val="00517692"/>
    <w:rsid w:val="00525220"/>
    <w:rsid w:val="0055172D"/>
    <w:rsid w:val="005613A8"/>
    <w:rsid w:val="00565637"/>
    <w:rsid w:val="00571216"/>
    <w:rsid w:val="005746AC"/>
    <w:rsid w:val="005935E1"/>
    <w:rsid w:val="005B6DE5"/>
    <w:rsid w:val="00605E59"/>
    <w:rsid w:val="006245E3"/>
    <w:rsid w:val="006355EE"/>
    <w:rsid w:val="00657CA2"/>
    <w:rsid w:val="00664455"/>
    <w:rsid w:val="0066665B"/>
    <w:rsid w:val="006731FB"/>
    <w:rsid w:val="006840FD"/>
    <w:rsid w:val="00687998"/>
    <w:rsid w:val="00693FB0"/>
    <w:rsid w:val="00695ECD"/>
    <w:rsid w:val="006C6F20"/>
    <w:rsid w:val="006D4AB8"/>
    <w:rsid w:val="006E5B17"/>
    <w:rsid w:val="006F0069"/>
    <w:rsid w:val="006F01CC"/>
    <w:rsid w:val="00701969"/>
    <w:rsid w:val="00712B14"/>
    <w:rsid w:val="00717CA8"/>
    <w:rsid w:val="007445F8"/>
    <w:rsid w:val="007560E0"/>
    <w:rsid w:val="007669F8"/>
    <w:rsid w:val="00791CA6"/>
    <w:rsid w:val="007A6450"/>
    <w:rsid w:val="007A6FB6"/>
    <w:rsid w:val="007B5959"/>
    <w:rsid w:val="007C3E3A"/>
    <w:rsid w:val="007E1885"/>
    <w:rsid w:val="007E1ED5"/>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63F4"/>
    <w:rsid w:val="0095513E"/>
    <w:rsid w:val="00970AA4"/>
    <w:rsid w:val="00985FA3"/>
    <w:rsid w:val="00987263"/>
    <w:rsid w:val="00993E98"/>
    <w:rsid w:val="009B04A0"/>
    <w:rsid w:val="009E252F"/>
    <w:rsid w:val="009F1880"/>
    <w:rsid w:val="00A1069F"/>
    <w:rsid w:val="00A132A4"/>
    <w:rsid w:val="00A159B2"/>
    <w:rsid w:val="00A27598"/>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475B"/>
    <w:rsid w:val="00D87FE6"/>
    <w:rsid w:val="00D92F8F"/>
    <w:rsid w:val="00DA0A7C"/>
    <w:rsid w:val="00DF43A1"/>
    <w:rsid w:val="00E03B90"/>
    <w:rsid w:val="00E05C6B"/>
    <w:rsid w:val="00E35D86"/>
    <w:rsid w:val="00E37FA9"/>
    <w:rsid w:val="00E43B2A"/>
    <w:rsid w:val="00E5270A"/>
    <w:rsid w:val="00E539A4"/>
    <w:rsid w:val="00E625EB"/>
    <w:rsid w:val="00E75428"/>
    <w:rsid w:val="00E92D84"/>
    <w:rsid w:val="00E9539D"/>
    <w:rsid w:val="00ED1946"/>
    <w:rsid w:val="00ED7058"/>
    <w:rsid w:val="00EE0A7C"/>
    <w:rsid w:val="00EF6D78"/>
    <w:rsid w:val="00F02FA9"/>
    <w:rsid w:val="00F0622F"/>
    <w:rsid w:val="00F13963"/>
    <w:rsid w:val="00F30712"/>
    <w:rsid w:val="00F32208"/>
    <w:rsid w:val="00F378A1"/>
    <w:rsid w:val="00F57C85"/>
    <w:rsid w:val="00F61D5C"/>
    <w:rsid w:val="00F727B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60</Pages>
  <Words>17941</Words>
  <Characters>107649</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72</cp:revision>
  <cp:lastPrinted>2022-02-14T08:53:00Z</cp:lastPrinted>
  <dcterms:created xsi:type="dcterms:W3CDTF">2017-01-23T11:38:00Z</dcterms:created>
  <dcterms:modified xsi:type="dcterms:W3CDTF">2022-02-14T09:01:00Z</dcterms:modified>
</cp:coreProperties>
</file>